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7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1365885</wp:posOffset>
            </wp:positionH>
            <wp:positionV relativeFrom="margin">
              <wp:posOffset>-1378584</wp:posOffset>
            </wp:positionV>
            <wp:extent cx="295275" cy="3048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553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9400" y="378000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55320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PROGRAMMAZIONE DI SEZIONE SCUOLA DELL’INFANZIA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__________________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DOCENTI 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DELLA SITUAZIONE DI PARTENZA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generale della classe, composizione, rilevazione della situazione iniziale, caratteristiche generali)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ACCOGLIENZA E ORGANIZZAZIONE DELLE ATTIVITÀ (SULLE LINEE GUIDA 0/6 ANNI)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 CON BISOGNI EDUCATIVI SPECIALI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EDUCATIVI E FORMATIVI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(selezionare dal Curricolo di istituto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ATTIVITA’ DI DIDATTICA DIGITALE INTEGRATA PREVISTE IN CASO DI NECESSITA’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ADESIONE AI PROGETTI PTOF, ATTIVITÀ, LABORATORI, EVENTUALI PROPOSTE DI USCITE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_________________</w:t>
        <w:tab/>
        <w:tab/>
        <w:tab/>
        <w:tab/>
        <w:t xml:space="preserve">FIRMA DOCENTI 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